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0F" w:rsidRDefault="00DE680F" w:rsidP="00DE680F">
      <w:pPr>
        <w:pStyle w:val="Sangradetextonormal"/>
        <w:spacing w:after="0"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DE680F" w:rsidRDefault="00DE680F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</w:p>
    <w:p w:rsidR="00F3692F" w:rsidRDefault="00F3692F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>
        <w:rPr>
          <w:b/>
          <w:bCs/>
        </w:rPr>
        <w:t>DEL DÍA</w:t>
      </w:r>
    </w:p>
    <w:p w:rsidR="00F3692F" w:rsidRPr="009130E9" w:rsidRDefault="00015C4A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>CUADRAGÉSIMA</w:t>
      </w:r>
      <w:r w:rsidR="00C4105C">
        <w:rPr>
          <w:b/>
          <w:bCs/>
        </w:rPr>
        <w:t xml:space="preserve"> SÉPTIMA </w:t>
      </w:r>
      <w:r w:rsidR="00F3692F" w:rsidRPr="009C5A61">
        <w:rPr>
          <w:b/>
          <w:bCs/>
        </w:rPr>
        <w:t xml:space="preserve">SESIÓN </w:t>
      </w:r>
      <w:r w:rsidR="00F3692F" w:rsidRPr="009130E9">
        <w:rPr>
          <w:b/>
          <w:bCs/>
        </w:rPr>
        <w:t>ORDINARIA</w:t>
      </w:r>
    </w:p>
    <w:p w:rsidR="00F3692F" w:rsidRDefault="00F3692F" w:rsidP="00F3692F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F3692F" w:rsidRDefault="00C4105C" w:rsidP="00F3692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DICIEMBRE - 17</w:t>
      </w:r>
      <w:r w:rsidR="00F3692F">
        <w:rPr>
          <w:b/>
          <w:bCs/>
        </w:rPr>
        <w:t xml:space="preserve"> - 2021</w:t>
      </w:r>
    </w:p>
    <w:p w:rsidR="00F3692F" w:rsidRDefault="00F3692F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F3692F" w:rsidRPr="009130E9" w:rsidRDefault="00F3692F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015C4A" w:rsidRPr="00015C4A" w:rsidRDefault="00F3692F" w:rsidP="00015C4A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Lista de asistencia.</w:t>
      </w:r>
      <w:r w:rsidR="00015C4A">
        <w:rPr>
          <w:rFonts w:ascii="Arial" w:hAnsi="Arial" w:cs="Arial"/>
          <w:b w:val="0"/>
          <w:i w:val="0"/>
          <w:iCs w:val="0"/>
          <w:sz w:val="24"/>
        </w:rPr>
        <w:t xml:space="preserve">  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Aprobación, en su caso, del orden del día.</w:t>
      </w:r>
    </w:p>
    <w:p w:rsidR="00F3692F" w:rsidRPr="007B3E5D" w:rsidRDefault="00F3692F" w:rsidP="00F3692F">
      <w:pPr>
        <w:spacing w:line="276" w:lineRule="auto"/>
        <w:rPr>
          <w:b/>
          <w:i/>
          <w:iCs/>
          <w:sz w:val="24"/>
          <w:szCs w:val="24"/>
          <w:lang w:val="es-ES_tradnl"/>
        </w:rPr>
      </w:pPr>
    </w:p>
    <w:p w:rsidR="00C24896" w:rsidRDefault="00F3692F" w:rsidP="00C24896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Aprobación, en su caso, del acta de la sesión celebrada en fecha </w:t>
      </w:r>
      <w:r w:rsidR="00C4105C">
        <w:rPr>
          <w:rFonts w:ascii="Arial" w:hAnsi="Arial" w:cs="Arial"/>
          <w:b w:val="0"/>
          <w:i w:val="0"/>
          <w:iCs w:val="0"/>
          <w:sz w:val="24"/>
        </w:rPr>
        <w:t>08</w:t>
      </w: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de </w:t>
      </w:r>
      <w:r w:rsidR="00B42B3F">
        <w:rPr>
          <w:rFonts w:ascii="Arial" w:hAnsi="Arial" w:cs="Arial"/>
          <w:b w:val="0"/>
          <w:i w:val="0"/>
          <w:iCs w:val="0"/>
          <w:sz w:val="24"/>
        </w:rPr>
        <w:t xml:space="preserve">diciembre </w:t>
      </w:r>
      <w:r w:rsidRPr="007B3E5D">
        <w:rPr>
          <w:rFonts w:ascii="Arial" w:hAnsi="Arial" w:cs="Arial"/>
          <w:b w:val="0"/>
          <w:i w:val="0"/>
          <w:iCs w:val="0"/>
          <w:sz w:val="24"/>
        </w:rPr>
        <w:t>de 2021.</w:t>
      </w:r>
    </w:p>
    <w:p w:rsidR="00C24896" w:rsidRDefault="00C24896" w:rsidP="00C24896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994F5E" w:rsidRPr="00994F5E" w:rsidRDefault="00C4105C" w:rsidP="00E7007D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Aprobación, en su caso, </w:t>
      </w:r>
      <w:r w:rsidR="00B42B3F" w:rsidRPr="00994F5E">
        <w:rPr>
          <w:rFonts w:ascii="Arial" w:hAnsi="Arial" w:cs="Arial"/>
          <w:b w:val="0"/>
          <w:i w:val="0"/>
          <w:sz w:val="24"/>
        </w:rPr>
        <w:t>de la</w:t>
      </w:r>
      <w:r w:rsidR="00E7007D" w:rsidRPr="00994F5E">
        <w:rPr>
          <w:rFonts w:ascii="Arial" w:hAnsi="Arial" w:cs="Arial"/>
          <w:b w:val="0"/>
          <w:i w:val="0"/>
          <w:sz w:val="24"/>
        </w:rPr>
        <w:t xml:space="preserve"> propuesta de acuerdo referente a la declaración de incompetencia de la Jueza Segunda de Primera Instancia en materia Civil del Distrito Judicial de Saltillo, para conocer de la demanda de nulidad de proced</w:t>
      </w:r>
      <w:r w:rsidR="00994F5E">
        <w:rPr>
          <w:rFonts w:ascii="Arial" w:hAnsi="Arial" w:cs="Arial"/>
          <w:b w:val="0"/>
          <w:i w:val="0"/>
          <w:sz w:val="24"/>
        </w:rPr>
        <w:t xml:space="preserve">imiento no </w:t>
      </w:r>
      <w:r w:rsidR="00E7007D" w:rsidRPr="00994F5E">
        <w:rPr>
          <w:rFonts w:ascii="Arial" w:hAnsi="Arial" w:cs="Arial"/>
          <w:b w:val="0"/>
          <w:i w:val="0"/>
          <w:sz w:val="24"/>
        </w:rPr>
        <w:t>contencioso (adquisición por prescripción)</w:t>
      </w:r>
      <w:r w:rsidR="00994F5E" w:rsidRPr="00994F5E">
        <w:rPr>
          <w:rFonts w:ascii="Arial" w:hAnsi="Arial" w:cs="Arial"/>
          <w:b w:val="0"/>
          <w:i w:val="0"/>
          <w:sz w:val="24"/>
        </w:rPr>
        <w:t xml:space="preserve"> presentada por </w:t>
      </w:r>
      <w:r w:rsidR="00DE680F">
        <w:rPr>
          <w:rFonts w:ascii="Arial" w:hAnsi="Arial" w:cs="Arial"/>
          <w:b w:val="0"/>
          <w:i w:val="0"/>
          <w:sz w:val="24"/>
        </w:rPr>
        <w:t xml:space="preserve">la parte actora </w:t>
      </w:r>
      <w:r w:rsidR="00994F5E" w:rsidRPr="00994F5E">
        <w:rPr>
          <w:rFonts w:ascii="Arial" w:hAnsi="Arial" w:cs="Arial"/>
          <w:b w:val="0"/>
          <w:i w:val="0"/>
          <w:sz w:val="24"/>
        </w:rPr>
        <w:t xml:space="preserve">en contra de </w:t>
      </w:r>
      <w:r w:rsidR="00DE680F">
        <w:rPr>
          <w:rFonts w:ascii="Arial" w:hAnsi="Arial" w:cs="Arial"/>
          <w:b w:val="0"/>
          <w:i w:val="0"/>
          <w:sz w:val="24"/>
        </w:rPr>
        <w:t>XXXXXXXXXX</w:t>
      </w:r>
      <w:r w:rsidR="00111AFC">
        <w:rPr>
          <w:rFonts w:ascii="Arial" w:hAnsi="Arial" w:cs="Arial"/>
          <w:b w:val="0"/>
          <w:i w:val="0"/>
          <w:sz w:val="24"/>
        </w:rPr>
        <w:t xml:space="preserve">, así como en contra del </w:t>
      </w:r>
      <w:r w:rsidR="00994F5E" w:rsidRPr="00994F5E">
        <w:rPr>
          <w:rFonts w:ascii="Arial" w:hAnsi="Arial" w:cs="Arial"/>
          <w:b w:val="0"/>
          <w:i w:val="0"/>
          <w:sz w:val="24"/>
        </w:rPr>
        <w:t>Juez Primero d</w:t>
      </w:r>
      <w:r w:rsidR="00111AFC">
        <w:rPr>
          <w:rFonts w:ascii="Arial" w:hAnsi="Arial" w:cs="Arial"/>
          <w:b w:val="0"/>
          <w:i w:val="0"/>
          <w:sz w:val="24"/>
        </w:rPr>
        <w:t>e Primera Instancia en materia C</w:t>
      </w:r>
      <w:r w:rsidR="00994F5E" w:rsidRPr="00994F5E">
        <w:rPr>
          <w:rFonts w:ascii="Arial" w:hAnsi="Arial" w:cs="Arial"/>
          <w:b w:val="0"/>
          <w:i w:val="0"/>
          <w:sz w:val="24"/>
        </w:rPr>
        <w:t>ivil del Distrito Judicial de S</w:t>
      </w:r>
      <w:r w:rsidR="00994F5E">
        <w:rPr>
          <w:rFonts w:ascii="Arial" w:hAnsi="Arial" w:cs="Arial"/>
          <w:b w:val="0"/>
          <w:i w:val="0"/>
          <w:sz w:val="24"/>
        </w:rPr>
        <w:t xml:space="preserve">altillo y licenciado </w:t>
      </w:r>
      <w:r w:rsidR="00DE680F">
        <w:rPr>
          <w:rFonts w:ascii="Arial" w:hAnsi="Arial" w:cs="Arial"/>
          <w:b w:val="0"/>
          <w:i w:val="0"/>
          <w:sz w:val="24"/>
        </w:rPr>
        <w:t xml:space="preserve">XXXXXXXXXX </w:t>
      </w:r>
      <w:r w:rsidR="00994F5E">
        <w:rPr>
          <w:rFonts w:ascii="Arial" w:hAnsi="Arial" w:cs="Arial"/>
          <w:b w:val="0"/>
          <w:i w:val="0"/>
          <w:sz w:val="24"/>
        </w:rPr>
        <w:t>en su carácter de Notario Público número 62 de éste Distrito Notarial.</w:t>
      </w:r>
      <w:r w:rsidR="00111AFC">
        <w:rPr>
          <w:rFonts w:ascii="Arial" w:hAnsi="Arial" w:cs="Arial"/>
          <w:b w:val="0"/>
          <w:i w:val="0"/>
          <w:sz w:val="24"/>
        </w:rPr>
        <w:t xml:space="preserve"> Juicio de Nulidad </w:t>
      </w:r>
      <w:r w:rsidR="00111AFC" w:rsidRPr="00111AFC">
        <w:rPr>
          <w:rFonts w:ascii="Arial" w:hAnsi="Arial" w:cs="Arial"/>
          <w:i w:val="0"/>
          <w:sz w:val="24"/>
        </w:rPr>
        <w:t>JN-10/2021</w:t>
      </w:r>
      <w:r w:rsidR="00111AFC">
        <w:rPr>
          <w:rFonts w:ascii="Arial" w:hAnsi="Arial" w:cs="Arial"/>
          <w:b w:val="0"/>
          <w:i w:val="0"/>
          <w:sz w:val="24"/>
        </w:rPr>
        <w:t>.</w:t>
      </w:r>
    </w:p>
    <w:p w:rsidR="00994F5E" w:rsidRPr="00994F5E" w:rsidRDefault="00994F5E" w:rsidP="00994F5E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D2066A" w:rsidRDefault="00C4105C" w:rsidP="00DE680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Aprobación, en su caso, </w:t>
      </w:r>
      <w:r w:rsidRPr="00994F5E">
        <w:rPr>
          <w:rFonts w:ascii="Arial" w:hAnsi="Arial" w:cs="Arial"/>
          <w:b w:val="0"/>
          <w:i w:val="0"/>
          <w:sz w:val="24"/>
        </w:rPr>
        <w:t>de la propuesta de acuerdo</w:t>
      </w:r>
      <w:r>
        <w:rPr>
          <w:rFonts w:ascii="Arial" w:hAnsi="Arial" w:cs="Arial"/>
          <w:b w:val="0"/>
          <w:i w:val="0"/>
          <w:sz w:val="24"/>
        </w:rPr>
        <w:t xml:space="preserve"> relativa a</w:t>
      </w:r>
      <w:r w:rsidR="00D2066A">
        <w:rPr>
          <w:rFonts w:ascii="Arial" w:hAnsi="Arial" w:cs="Arial"/>
          <w:b w:val="0"/>
          <w:i w:val="0"/>
          <w:sz w:val="24"/>
        </w:rPr>
        <w:t xml:space="preserve"> la demanda de juicio de nulidad</w:t>
      </w:r>
      <w:r w:rsidR="00111AFC">
        <w:rPr>
          <w:rFonts w:ascii="Arial" w:hAnsi="Arial" w:cs="Arial"/>
          <w:b w:val="0"/>
          <w:i w:val="0"/>
          <w:sz w:val="24"/>
        </w:rPr>
        <w:t xml:space="preserve"> </w:t>
      </w:r>
      <w:r w:rsidR="00111AFC" w:rsidRPr="00111AFC">
        <w:rPr>
          <w:rFonts w:ascii="Arial" w:hAnsi="Arial" w:cs="Arial"/>
          <w:i w:val="0"/>
          <w:sz w:val="24"/>
        </w:rPr>
        <w:t>JN-</w:t>
      </w:r>
      <w:r w:rsidR="00111AFC">
        <w:rPr>
          <w:rFonts w:ascii="Arial" w:hAnsi="Arial" w:cs="Arial"/>
          <w:i w:val="0"/>
          <w:sz w:val="24"/>
        </w:rPr>
        <w:t>11</w:t>
      </w:r>
      <w:r w:rsidR="00111AFC" w:rsidRPr="00111AFC">
        <w:rPr>
          <w:rFonts w:ascii="Arial" w:hAnsi="Arial" w:cs="Arial"/>
          <w:i w:val="0"/>
          <w:sz w:val="24"/>
        </w:rPr>
        <w:t>/2021</w:t>
      </w:r>
      <w:r w:rsidR="00D2066A">
        <w:rPr>
          <w:rFonts w:ascii="Arial" w:hAnsi="Arial" w:cs="Arial"/>
          <w:b w:val="0"/>
          <w:i w:val="0"/>
          <w:sz w:val="24"/>
        </w:rPr>
        <w:t xml:space="preserve"> </w:t>
      </w:r>
      <w:r w:rsidR="00DE680F" w:rsidRPr="00DE680F">
        <w:rPr>
          <w:rFonts w:ascii="Arial" w:hAnsi="Arial" w:cs="Arial"/>
          <w:b w:val="0"/>
          <w:i w:val="0"/>
          <w:sz w:val="24"/>
        </w:rPr>
        <w:t>intentada por la parte actora en contra de la sentencia de adjudicación de veintinueve de octubre de dos mil veintiuno, dictada dentro del juicio sucesorio intestamentario a bienes de XXXXXXXXXX, promovido por XXXXXXXXXX, con número de expediente 979/2020 del índice del Juzgado Segundo de Primera Instancia en materia Civil del Distrito Judicial de Monclova.</w:t>
      </w:r>
    </w:p>
    <w:p w:rsidR="007638E5" w:rsidRDefault="007638E5" w:rsidP="007638E5">
      <w:pPr>
        <w:pStyle w:val="Prrafodelista"/>
        <w:rPr>
          <w:b/>
          <w:i/>
        </w:rPr>
      </w:pPr>
    </w:p>
    <w:p w:rsidR="007638E5" w:rsidRDefault="007638E5" w:rsidP="00E7007D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Presentación</w:t>
      </w:r>
      <w:r w:rsidR="000D610F">
        <w:rPr>
          <w:rFonts w:ascii="Arial" w:hAnsi="Arial" w:cs="Arial"/>
          <w:b w:val="0"/>
          <w:i w:val="0"/>
          <w:sz w:val="24"/>
        </w:rPr>
        <w:t xml:space="preserve"> del proyecto de sentencia del </w:t>
      </w:r>
      <w:r w:rsidR="000D610F" w:rsidRPr="000D610F">
        <w:rPr>
          <w:rFonts w:ascii="Arial" w:hAnsi="Arial" w:cs="Arial"/>
          <w:i w:val="0"/>
          <w:sz w:val="24"/>
        </w:rPr>
        <w:t>r</w:t>
      </w:r>
      <w:r w:rsidRPr="000D610F">
        <w:rPr>
          <w:rFonts w:ascii="Arial" w:hAnsi="Arial" w:cs="Arial"/>
          <w:i w:val="0"/>
          <w:sz w:val="24"/>
        </w:rPr>
        <w:t xml:space="preserve">ecurso </w:t>
      </w:r>
      <w:r w:rsidR="000D610F" w:rsidRPr="000D610F">
        <w:rPr>
          <w:rFonts w:ascii="Arial" w:hAnsi="Arial" w:cs="Arial"/>
          <w:i w:val="0"/>
          <w:sz w:val="24"/>
        </w:rPr>
        <w:t>de a</w:t>
      </w:r>
      <w:r w:rsidRPr="000D610F">
        <w:rPr>
          <w:rFonts w:ascii="Arial" w:hAnsi="Arial" w:cs="Arial"/>
          <w:i w:val="0"/>
          <w:sz w:val="24"/>
        </w:rPr>
        <w:t>pelación RA-</w:t>
      </w:r>
      <w:r w:rsidR="000D610F" w:rsidRPr="000D610F">
        <w:rPr>
          <w:rFonts w:ascii="Arial" w:hAnsi="Arial" w:cs="Arial"/>
          <w:i w:val="0"/>
          <w:sz w:val="24"/>
        </w:rPr>
        <w:t>6/2021</w:t>
      </w:r>
      <w:r w:rsidR="000D610F">
        <w:rPr>
          <w:rFonts w:ascii="Arial" w:hAnsi="Arial" w:cs="Arial"/>
          <w:b w:val="0"/>
          <w:i w:val="0"/>
          <w:sz w:val="24"/>
        </w:rPr>
        <w:t xml:space="preserve">, interpuesto por el licenciado </w:t>
      </w:r>
      <w:r w:rsidR="00DE680F">
        <w:rPr>
          <w:rFonts w:ascii="Arial" w:hAnsi="Arial" w:cs="Arial"/>
          <w:b w:val="0"/>
          <w:i w:val="0"/>
          <w:sz w:val="24"/>
        </w:rPr>
        <w:t>XXXXXXXXXX</w:t>
      </w:r>
      <w:r w:rsidR="000D610F">
        <w:rPr>
          <w:rFonts w:ascii="Arial" w:hAnsi="Arial" w:cs="Arial"/>
          <w:b w:val="0"/>
          <w:i w:val="0"/>
          <w:sz w:val="24"/>
        </w:rPr>
        <w:t xml:space="preserve"> en su carácter de Coordinador de Asuntos Jurídicos de la Secretaría de Finanzas del Estado, en contra de la sentencia de ocho de julio de dos mil veintiuno, dictada</w:t>
      </w:r>
      <w:r w:rsidR="000D610F" w:rsidRPr="000D610F">
        <w:rPr>
          <w:rFonts w:ascii="Arial" w:hAnsi="Arial" w:cs="Arial"/>
          <w:b w:val="0"/>
          <w:i w:val="0"/>
          <w:sz w:val="24"/>
        </w:rPr>
        <w:t xml:space="preserve"> </w:t>
      </w:r>
      <w:r w:rsidR="000D610F">
        <w:rPr>
          <w:rFonts w:ascii="Arial" w:hAnsi="Arial" w:cs="Arial"/>
          <w:b w:val="0"/>
          <w:i w:val="0"/>
          <w:sz w:val="24"/>
        </w:rPr>
        <w:t xml:space="preserve">por la Sala Civil y Familiar del Tribunal </w:t>
      </w:r>
      <w:r w:rsidR="000D610F">
        <w:rPr>
          <w:rFonts w:ascii="Arial" w:hAnsi="Arial" w:cs="Arial"/>
          <w:b w:val="0"/>
          <w:i w:val="0"/>
          <w:sz w:val="24"/>
        </w:rPr>
        <w:lastRenderedPageBreak/>
        <w:t>Superior de Justicia, dentro del procedimiento no con</w:t>
      </w:r>
      <w:r w:rsidR="00002ADE">
        <w:rPr>
          <w:rFonts w:ascii="Arial" w:hAnsi="Arial" w:cs="Arial"/>
          <w:b w:val="0"/>
          <w:i w:val="0"/>
          <w:sz w:val="24"/>
        </w:rPr>
        <w:t>tencioso número 01/2021 D.G.E.</w:t>
      </w:r>
    </w:p>
    <w:p w:rsidR="00F77AB5" w:rsidRDefault="00F77AB5" w:rsidP="00F77AB5">
      <w:pPr>
        <w:pStyle w:val="Prrafodelista"/>
        <w:rPr>
          <w:b/>
          <w:i/>
        </w:rPr>
      </w:pPr>
    </w:p>
    <w:p w:rsidR="006C506E" w:rsidRDefault="00F77AB5" w:rsidP="006C506E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Determinación relativa a la </w:t>
      </w:r>
      <w:r w:rsidR="007638E5">
        <w:rPr>
          <w:rFonts w:ascii="Arial" w:hAnsi="Arial" w:cs="Arial"/>
          <w:b w:val="0"/>
          <w:i w:val="0"/>
          <w:sz w:val="24"/>
        </w:rPr>
        <w:t>Lista de Auxiliares de la Administración de Justicia conforme al cuadro que se anexa.</w:t>
      </w:r>
    </w:p>
    <w:p w:rsidR="00002ADE" w:rsidRDefault="00002ADE" w:rsidP="00002ADE">
      <w:pPr>
        <w:pStyle w:val="Prrafodelista"/>
        <w:rPr>
          <w:b/>
          <w:i/>
        </w:rPr>
      </w:pPr>
    </w:p>
    <w:p w:rsidR="00002ADE" w:rsidRDefault="00002ADE" w:rsidP="006C506E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  <w:lang w:val="es-MX"/>
        </w:rPr>
        <w:t xml:space="preserve">Aprobación, en su caso, del acuerdo emitido de manera conjunta por el Pleno del Consejo de la judicatura del Estado de Coahuila de Zaragoza y el Pleno del Tribunal Superior de Justicia del Estado, relativo a la modificación del régimen de emolumentos de las y los magistrados supernumerarios. </w:t>
      </w:r>
    </w:p>
    <w:p w:rsidR="006C506E" w:rsidRDefault="006C506E" w:rsidP="006C506E">
      <w:pPr>
        <w:pStyle w:val="Prrafodelista"/>
        <w:rPr>
          <w:b/>
          <w:i/>
          <w:iCs/>
        </w:rPr>
      </w:pPr>
    </w:p>
    <w:p w:rsidR="006C506E" w:rsidRPr="006C506E" w:rsidRDefault="006C506E" w:rsidP="006C506E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24"/>
        </w:rPr>
      </w:pPr>
      <w:r w:rsidRPr="006C506E">
        <w:rPr>
          <w:rFonts w:ascii="Arial" w:hAnsi="Arial" w:cs="Arial"/>
          <w:b w:val="0"/>
          <w:i w:val="0"/>
          <w:iCs w:val="0"/>
          <w:sz w:val="24"/>
        </w:rPr>
        <w:t>Informes estadísticos.</w:t>
      </w:r>
    </w:p>
    <w:p w:rsidR="006C506E" w:rsidRPr="006C506E" w:rsidRDefault="006C506E" w:rsidP="006C506E">
      <w:pPr>
        <w:pStyle w:val="Textoindependiente"/>
        <w:spacing w:line="360" w:lineRule="auto"/>
        <w:rPr>
          <w:rFonts w:ascii="Arial" w:hAnsi="Arial" w:cs="Arial"/>
          <w:b w:val="0"/>
          <w:i w:val="0"/>
          <w:sz w:val="24"/>
        </w:rPr>
      </w:pPr>
    </w:p>
    <w:p w:rsidR="006C506E" w:rsidRDefault="006C506E" w:rsidP="006C506E">
      <w:pPr>
        <w:pStyle w:val="Textoindependiente"/>
        <w:numPr>
          <w:ilvl w:val="1"/>
          <w:numId w:val="5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Sala Civil y Familiar</w:t>
      </w:r>
    </w:p>
    <w:p w:rsidR="006C506E" w:rsidRDefault="006C506E" w:rsidP="006C506E">
      <w:pPr>
        <w:pStyle w:val="Textoindependiente"/>
        <w:numPr>
          <w:ilvl w:val="1"/>
          <w:numId w:val="5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Sala Penal</w:t>
      </w:r>
    </w:p>
    <w:p w:rsidR="006C506E" w:rsidRDefault="006C506E" w:rsidP="006C506E">
      <w:pPr>
        <w:pStyle w:val="Textoindependiente"/>
        <w:numPr>
          <w:ilvl w:val="1"/>
          <w:numId w:val="5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Sala Regional</w:t>
      </w:r>
    </w:p>
    <w:p w:rsidR="006C506E" w:rsidRDefault="006C506E" w:rsidP="006C506E">
      <w:pPr>
        <w:pStyle w:val="Textoindependiente"/>
        <w:numPr>
          <w:ilvl w:val="1"/>
          <w:numId w:val="5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Primer Tribunal Distrital </w:t>
      </w:r>
    </w:p>
    <w:p w:rsidR="006C506E" w:rsidRDefault="006C506E" w:rsidP="006C506E">
      <w:pPr>
        <w:pStyle w:val="Textoindependiente"/>
        <w:numPr>
          <w:ilvl w:val="1"/>
          <w:numId w:val="5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Segundo Tribunal Distrital </w:t>
      </w:r>
    </w:p>
    <w:p w:rsidR="006C506E" w:rsidRDefault="006C506E" w:rsidP="006C506E">
      <w:pPr>
        <w:pStyle w:val="Textoindependiente"/>
        <w:numPr>
          <w:ilvl w:val="1"/>
          <w:numId w:val="5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Tercer Tribunal Distrital</w:t>
      </w:r>
    </w:p>
    <w:p w:rsidR="006C506E" w:rsidRDefault="006C506E" w:rsidP="006C506E">
      <w:pPr>
        <w:pStyle w:val="Textoindependiente"/>
        <w:numPr>
          <w:ilvl w:val="1"/>
          <w:numId w:val="5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Cuarto Tribunal Distrital </w:t>
      </w:r>
    </w:p>
    <w:p w:rsidR="006C506E" w:rsidRDefault="006C506E" w:rsidP="006C506E">
      <w:pPr>
        <w:pStyle w:val="Textoindependiente"/>
        <w:spacing w:line="360" w:lineRule="auto"/>
        <w:ind w:left="1440"/>
        <w:rPr>
          <w:rFonts w:ascii="Arial" w:hAnsi="Arial" w:cs="Arial"/>
          <w:b w:val="0"/>
          <w:i w:val="0"/>
          <w:iCs w:val="0"/>
          <w:sz w:val="24"/>
        </w:rPr>
      </w:pPr>
    </w:p>
    <w:p w:rsidR="007638E5" w:rsidRPr="006C506E" w:rsidRDefault="007638E5" w:rsidP="006C506E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6C506E">
        <w:rPr>
          <w:rFonts w:ascii="Arial" w:hAnsi="Arial" w:cs="Arial"/>
          <w:b w:val="0"/>
          <w:i w:val="0"/>
          <w:sz w:val="24"/>
        </w:rPr>
        <w:t xml:space="preserve">Determinación relativa al calendario de labores para el año 2022, y designación de la guardia correspondiente para el periodo vacacional de invierno.  </w:t>
      </w:r>
    </w:p>
    <w:p w:rsidR="00611B11" w:rsidRPr="006C506E" w:rsidRDefault="00611B11" w:rsidP="00CD4592">
      <w:pPr>
        <w:pStyle w:val="Textoindependiente"/>
        <w:spacing w:line="360" w:lineRule="auto"/>
        <w:rPr>
          <w:rFonts w:ascii="Arial" w:hAnsi="Arial" w:cs="Arial"/>
          <w:b w:val="0"/>
          <w:i w:val="0"/>
          <w:iCs w:val="0"/>
          <w:sz w:val="24"/>
          <w:lang w:val="es-MX"/>
        </w:rPr>
      </w:pPr>
    </w:p>
    <w:p w:rsidR="00C24896" w:rsidRPr="00C24896" w:rsidRDefault="008F7B14" w:rsidP="006C506E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 w:rsidRPr="00C24896">
        <w:rPr>
          <w:rFonts w:ascii="Arial" w:hAnsi="Arial" w:cs="Arial"/>
          <w:b w:val="0"/>
          <w:i w:val="0"/>
          <w:sz w:val="24"/>
        </w:rPr>
        <w:t xml:space="preserve"> </w:t>
      </w:r>
      <w:r w:rsidR="00611B11">
        <w:rPr>
          <w:rFonts w:ascii="Arial" w:hAnsi="Arial" w:cs="Arial"/>
          <w:b w:val="0"/>
          <w:i w:val="0"/>
          <w:sz w:val="24"/>
        </w:rPr>
        <w:t xml:space="preserve">Informe </w:t>
      </w:r>
      <w:r w:rsidR="00F3692F" w:rsidRPr="00C24896">
        <w:rPr>
          <w:rFonts w:ascii="Arial" w:hAnsi="Arial" w:cs="Arial"/>
          <w:b w:val="0"/>
          <w:i w:val="0"/>
          <w:sz w:val="24"/>
        </w:rPr>
        <w:t>de movimientos de personal.</w:t>
      </w:r>
    </w:p>
    <w:p w:rsidR="00C24896" w:rsidRPr="00C24896" w:rsidRDefault="00C24896" w:rsidP="00C24896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6C506E" w:rsidRDefault="00F3692F" w:rsidP="006C506E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 w:rsidRPr="00C24896">
        <w:rPr>
          <w:rFonts w:ascii="Arial" w:hAnsi="Arial" w:cs="Arial"/>
          <w:b w:val="0"/>
          <w:i w:val="0"/>
          <w:sz w:val="24"/>
        </w:rPr>
        <w:t>Asuntos generales.</w:t>
      </w:r>
    </w:p>
    <w:p w:rsidR="006C506E" w:rsidRDefault="006C506E" w:rsidP="006C506E">
      <w:pPr>
        <w:pStyle w:val="Prrafodelista"/>
        <w:rPr>
          <w:b/>
          <w:i/>
          <w:iCs/>
        </w:rPr>
      </w:pPr>
    </w:p>
    <w:p w:rsidR="00C24896" w:rsidRPr="00C24896" w:rsidRDefault="00C24896" w:rsidP="00C24896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870B36" w:rsidRDefault="00870B36" w:rsidP="00870B36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Arial" w:hAnsi="Arial" w:cs="Arial"/>
          <w:sz w:val="24"/>
          <w:lang w:eastAsia="es-ES"/>
        </w:rPr>
      </w:pPr>
      <w:r w:rsidRPr="007638E5">
        <w:rPr>
          <w:rFonts w:ascii="Arial" w:hAnsi="Arial" w:cs="Arial"/>
          <w:sz w:val="24"/>
          <w:lang w:eastAsia="es-ES"/>
        </w:rPr>
        <w:t>Declaratoria de clausura del segundo período de sesiones del Tribunal Superior de Justicia del Est</w:t>
      </w:r>
      <w:r>
        <w:rPr>
          <w:rFonts w:ascii="Arial" w:hAnsi="Arial" w:cs="Arial"/>
          <w:sz w:val="24"/>
          <w:lang w:eastAsia="es-ES"/>
        </w:rPr>
        <w:t>ado, correspondiente al año 2021</w:t>
      </w:r>
      <w:r w:rsidRPr="007638E5">
        <w:rPr>
          <w:rFonts w:ascii="Arial" w:hAnsi="Arial" w:cs="Arial"/>
          <w:sz w:val="24"/>
          <w:lang w:eastAsia="es-ES"/>
        </w:rPr>
        <w:t xml:space="preserve">. </w:t>
      </w:r>
    </w:p>
    <w:p w:rsidR="00F3692F" w:rsidRPr="00C24896" w:rsidRDefault="00F3692F" w:rsidP="00F3692F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8F6812" w:rsidRDefault="008F6812">
      <w:bookmarkStart w:id="0" w:name="_GoBack"/>
      <w:bookmarkEnd w:id="0"/>
    </w:p>
    <w:sectPr w:rsidR="008F6812" w:rsidSect="00693902">
      <w:footerReference w:type="default" r:id="rId7"/>
      <w:pgSz w:w="12242" w:h="20163" w:code="5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B8" w:rsidRDefault="001E1FB8">
      <w:pPr>
        <w:spacing w:after="0" w:line="240" w:lineRule="auto"/>
      </w:pPr>
      <w:r>
        <w:separator/>
      </w:r>
    </w:p>
  </w:endnote>
  <w:endnote w:type="continuationSeparator" w:id="0">
    <w:p w:rsidR="001E1FB8" w:rsidRDefault="001E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8F7B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80F" w:rsidRPr="00DE680F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1E1F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B8" w:rsidRDefault="001E1FB8">
      <w:pPr>
        <w:spacing w:after="0" w:line="240" w:lineRule="auto"/>
      </w:pPr>
      <w:r>
        <w:separator/>
      </w:r>
    </w:p>
  </w:footnote>
  <w:footnote w:type="continuationSeparator" w:id="0">
    <w:p w:rsidR="001E1FB8" w:rsidRDefault="001E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CBF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E58F7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6398D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20052E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25A2D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F"/>
    <w:rsid w:val="00002ADE"/>
    <w:rsid w:val="00015C4A"/>
    <w:rsid w:val="00024C17"/>
    <w:rsid w:val="00034486"/>
    <w:rsid w:val="00035067"/>
    <w:rsid w:val="00070CF8"/>
    <w:rsid w:val="00086035"/>
    <w:rsid w:val="000D45E9"/>
    <w:rsid w:val="000D610F"/>
    <w:rsid w:val="00111AFC"/>
    <w:rsid w:val="00196E22"/>
    <w:rsid w:val="001E1FB8"/>
    <w:rsid w:val="001F306A"/>
    <w:rsid w:val="00200A55"/>
    <w:rsid w:val="00201F17"/>
    <w:rsid w:val="00206573"/>
    <w:rsid w:val="00217BC0"/>
    <w:rsid w:val="00223C36"/>
    <w:rsid w:val="00264AFC"/>
    <w:rsid w:val="00286662"/>
    <w:rsid w:val="002D5218"/>
    <w:rsid w:val="00316DED"/>
    <w:rsid w:val="003360CD"/>
    <w:rsid w:val="003804EB"/>
    <w:rsid w:val="003E076A"/>
    <w:rsid w:val="003E1289"/>
    <w:rsid w:val="003E2DA1"/>
    <w:rsid w:val="004857C6"/>
    <w:rsid w:val="005203E7"/>
    <w:rsid w:val="0056401E"/>
    <w:rsid w:val="00611B11"/>
    <w:rsid w:val="00614BC6"/>
    <w:rsid w:val="00635A2C"/>
    <w:rsid w:val="006677B2"/>
    <w:rsid w:val="006732D6"/>
    <w:rsid w:val="00677785"/>
    <w:rsid w:val="00680573"/>
    <w:rsid w:val="006C506E"/>
    <w:rsid w:val="007638E5"/>
    <w:rsid w:val="007A5082"/>
    <w:rsid w:val="008004DF"/>
    <w:rsid w:val="0080200C"/>
    <w:rsid w:val="00843EB0"/>
    <w:rsid w:val="00870B36"/>
    <w:rsid w:val="00880323"/>
    <w:rsid w:val="008A2B49"/>
    <w:rsid w:val="008C6582"/>
    <w:rsid w:val="008F487C"/>
    <w:rsid w:val="008F6812"/>
    <w:rsid w:val="008F7B14"/>
    <w:rsid w:val="00943AE7"/>
    <w:rsid w:val="00994F5E"/>
    <w:rsid w:val="009C0667"/>
    <w:rsid w:val="009F0050"/>
    <w:rsid w:val="00A57F5B"/>
    <w:rsid w:val="00A77CC2"/>
    <w:rsid w:val="00AD46E2"/>
    <w:rsid w:val="00B42351"/>
    <w:rsid w:val="00B42B3F"/>
    <w:rsid w:val="00B93AE2"/>
    <w:rsid w:val="00BE19F9"/>
    <w:rsid w:val="00BF27A3"/>
    <w:rsid w:val="00C11B34"/>
    <w:rsid w:val="00C24896"/>
    <w:rsid w:val="00C4105C"/>
    <w:rsid w:val="00C630FE"/>
    <w:rsid w:val="00C7101C"/>
    <w:rsid w:val="00CD4592"/>
    <w:rsid w:val="00D2066A"/>
    <w:rsid w:val="00D8436D"/>
    <w:rsid w:val="00D84EF5"/>
    <w:rsid w:val="00DC67EE"/>
    <w:rsid w:val="00DE680F"/>
    <w:rsid w:val="00E06803"/>
    <w:rsid w:val="00E35CE7"/>
    <w:rsid w:val="00E7007D"/>
    <w:rsid w:val="00F24CFD"/>
    <w:rsid w:val="00F3692F"/>
    <w:rsid w:val="00F77AB5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F98C-B662-48D7-A3CE-ED6DB93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69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692F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3692F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3692F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3692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6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2F"/>
  </w:style>
  <w:style w:type="paragraph" w:styleId="Textodeglobo">
    <w:name w:val="Balloon Text"/>
    <w:basedOn w:val="Normal"/>
    <w:link w:val="TextodegloboCar"/>
    <w:uiPriority w:val="99"/>
    <w:semiHidden/>
    <w:unhideWhenUsed/>
    <w:rsid w:val="008F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10</cp:revision>
  <cp:lastPrinted>2021-12-16T17:00:00Z</cp:lastPrinted>
  <dcterms:created xsi:type="dcterms:W3CDTF">2021-12-06T20:21:00Z</dcterms:created>
  <dcterms:modified xsi:type="dcterms:W3CDTF">2021-12-16T22:29:00Z</dcterms:modified>
</cp:coreProperties>
</file>